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5D9" w:rsidRPr="005445D9" w:rsidRDefault="005445D9" w:rsidP="005445D9">
      <w:pPr>
        <w:spacing w:line="360" w:lineRule="auto"/>
        <w:jc w:val="both"/>
        <w:rPr>
          <w:rStyle w:val="a3"/>
          <w:rFonts w:ascii="Verdana" w:hAnsi="Verdana"/>
          <w:b/>
          <w:i w:val="0"/>
          <w:sz w:val="20"/>
          <w:szCs w:val="20"/>
        </w:rPr>
      </w:pPr>
      <w:r w:rsidRPr="005445D9">
        <w:rPr>
          <w:rStyle w:val="a3"/>
          <w:rFonts w:ascii="Verdana" w:hAnsi="Verdana"/>
          <w:b/>
          <w:i w:val="0"/>
          <w:sz w:val="20"/>
          <w:szCs w:val="20"/>
        </w:rPr>
        <w:t>П</w:t>
      </w:r>
      <w:r w:rsidRPr="005445D9">
        <w:rPr>
          <w:rStyle w:val="a3"/>
          <w:rFonts w:ascii="Verdana" w:hAnsi="Verdana"/>
          <w:b/>
          <w:i w:val="0"/>
          <w:sz w:val="20"/>
          <w:szCs w:val="20"/>
        </w:rPr>
        <w:t>ромени в Наредба за определянето и администрирането на местните данъци на територията на община Дряново, както следва:</w:t>
      </w:r>
    </w:p>
    <w:p w:rsidR="005445D9" w:rsidRPr="004A5740" w:rsidRDefault="005445D9" w:rsidP="005445D9">
      <w:pPr>
        <w:spacing w:line="360" w:lineRule="auto"/>
        <w:jc w:val="both"/>
        <w:rPr>
          <w:rStyle w:val="a3"/>
          <w:rFonts w:ascii="Verdana" w:hAnsi="Verdana"/>
          <w:i w:val="0"/>
          <w:sz w:val="20"/>
          <w:szCs w:val="20"/>
        </w:rPr>
      </w:pPr>
    </w:p>
    <w:p w:rsidR="005445D9" w:rsidRPr="004A5740" w:rsidRDefault="005445D9" w:rsidP="005445D9">
      <w:pPr>
        <w:numPr>
          <w:ilvl w:val="1"/>
          <w:numId w:val="1"/>
        </w:numPr>
        <w:spacing w:line="360" w:lineRule="auto"/>
        <w:jc w:val="both"/>
        <w:rPr>
          <w:rFonts w:ascii="Verdana" w:hAnsi="Verdana"/>
          <w:b/>
          <w:sz w:val="20"/>
          <w:szCs w:val="20"/>
        </w:rPr>
      </w:pPr>
      <w:r w:rsidRPr="004A5740">
        <w:rPr>
          <w:rFonts w:ascii="Verdana" w:hAnsi="Verdana"/>
          <w:sz w:val="20"/>
          <w:szCs w:val="20"/>
        </w:rPr>
        <w:t xml:space="preserve">      В </w:t>
      </w:r>
      <w:r w:rsidRPr="004A5740">
        <w:rPr>
          <w:rFonts w:ascii="Verdana" w:hAnsi="Verdana"/>
          <w:b/>
          <w:sz w:val="20"/>
          <w:szCs w:val="20"/>
        </w:rPr>
        <w:t xml:space="preserve">Раздел І </w:t>
      </w:r>
      <w:r w:rsidRPr="004A5740">
        <w:rPr>
          <w:rFonts w:ascii="Verdana" w:hAnsi="Verdana"/>
          <w:sz w:val="20"/>
          <w:szCs w:val="20"/>
        </w:rPr>
        <w:t xml:space="preserve">Данък върху недвижимите имоти: </w:t>
      </w:r>
      <w:r w:rsidRPr="004A5740">
        <w:rPr>
          <w:rFonts w:ascii="Verdana" w:hAnsi="Verdana"/>
          <w:b/>
          <w:sz w:val="20"/>
          <w:szCs w:val="20"/>
        </w:rPr>
        <w:t xml:space="preserve">Чл.24 (1) </w:t>
      </w:r>
      <w:r w:rsidRPr="004A5740">
        <w:rPr>
          <w:rFonts w:ascii="Verdana" w:hAnsi="Verdana"/>
          <w:sz w:val="20"/>
          <w:szCs w:val="20"/>
        </w:rPr>
        <w:t>Размерът на данъка върху недвижимите имоти се определя в размер на 2,50 на хиляда върху данъчната оценка на недвижимия имот.</w:t>
      </w:r>
    </w:p>
    <w:p w:rsidR="005445D9" w:rsidRPr="004A5740" w:rsidRDefault="005445D9" w:rsidP="005445D9">
      <w:pPr>
        <w:spacing w:line="360" w:lineRule="auto"/>
        <w:ind w:left="1080"/>
        <w:jc w:val="both"/>
        <w:rPr>
          <w:rFonts w:ascii="Verdana" w:hAnsi="Verdana"/>
          <w:b/>
          <w:sz w:val="20"/>
          <w:szCs w:val="20"/>
        </w:rPr>
      </w:pPr>
    </w:p>
    <w:p w:rsidR="005445D9" w:rsidRPr="004A5740" w:rsidRDefault="005445D9" w:rsidP="005445D9">
      <w:pPr>
        <w:numPr>
          <w:ilvl w:val="1"/>
          <w:numId w:val="1"/>
        </w:numPr>
        <w:spacing w:line="360" w:lineRule="auto"/>
        <w:rPr>
          <w:rFonts w:ascii="Verdana" w:hAnsi="Verdana"/>
          <w:sz w:val="20"/>
          <w:szCs w:val="20"/>
        </w:rPr>
      </w:pPr>
      <w:r w:rsidRPr="004A5740">
        <w:rPr>
          <w:rFonts w:ascii="Verdana" w:hAnsi="Verdana"/>
          <w:sz w:val="20"/>
          <w:szCs w:val="20"/>
        </w:rPr>
        <w:t xml:space="preserve">     В</w:t>
      </w:r>
      <w:r w:rsidRPr="004A5740">
        <w:rPr>
          <w:rFonts w:ascii="Verdana" w:hAnsi="Verdana"/>
          <w:b/>
          <w:sz w:val="20"/>
          <w:szCs w:val="20"/>
        </w:rPr>
        <w:t xml:space="preserve"> Раздел IV</w:t>
      </w:r>
      <w:bookmarkStart w:id="0" w:name="_GoBack"/>
      <w:bookmarkEnd w:id="0"/>
      <w:r w:rsidRPr="004A5740">
        <w:rPr>
          <w:rFonts w:ascii="Verdana" w:hAnsi="Verdana"/>
          <w:b/>
          <w:sz w:val="20"/>
          <w:szCs w:val="20"/>
        </w:rPr>
        <w:t xml:space="preserve"> </w:t>
      </w:r>
      <w:r w:rsidRPr="004A5740">
        <w:rPr>
          <w:rFonts w:ascii="Verdana" w:hAnsi="Verdana"/>
          <w:sz w:val="20"/>
          <w:szCs w:val="20"/>
        </w:rPr>
        <w:t xml:space="preserve">Данък върху превозните средства: </w:t>
      </w:r>
      <w:r w:rsidRPr="004A5740">
        <w:rPr>
          <w:rFonts w:ascii="Verdana" w:hAnsi="Verdana"/>
          <w:b/>
          <w:sz w:val="20"/>
          <w:szCs w:val="20"/>
        </w:rPr>
        <w:t>Чл.49 (1)</w:t>
      </w:r>
      <w:r w:rsidRPr="004A5740">
        <w:rPr>
          <w:rFonts w:ascii="Verdana" w:hAnsi="Verdana"/>
          <w:sz w:val="20"/>
          <w:szCs w:val="20"/>
        </w:rPr>
        <w:t xml:space="preserve"> За леки и товарни автомобили с технически допустима максимална маса не повече от 3,5 т годишният данък се състои от два компонента - имуществен и екологичен, и се определя по следната формула:</w:t>
      </w:r>
    </w:p>
    <w:p w:rsidR="005445D9" w:rsidRPr="004A5740" w:rsidRDefault="005445D9" w:rsidP="005445D9">
      <w:pPr>
        <w:spacing w:before="40" w:line="360" w:lineRule="auto"/>
        <w:ind w:firstLine="720"/>
        <w:jc w:val="both"/>
        <w:rPr>
          <w:rFonts w:ascii="Verdana" w:hAnsi="Verdana"/>
          <w:sz w:val="20"/>
          <w:szCs w:val="20"/>
        </w:rPr>
      </w:pPr>
      <w:r w:rsidRPr="004A5740">
        <w:rPr>
          <w:rFonts w:ascii="Verdana" w:hAnsi="Verdana"/>
          <w:sz w:val="20"/>
          <w:szCs w:val="20"/>
        </w:rPr>
        <w:t xml:space="preserve">ГДПС = </w:t>
      </w:r>
      <w:proofErr w:type="spellStart"/>
      <w:r w:rsidRPr="004A5740">
        <w:rPr>
          <w:rFonts w:ascii="Verdana" w:hAnsi="Verdana"/>
          <w:sz w:val="20"/>
          <w:szCs w:val="20"/>
        </w:rPr>
        <w:t>ИмК</w:t>
      </w:r>
      <w:proofErr w:type="spellEnd"/>
      <w:r w:rsidRPr="004A5740">
        <w:rPr>
          <w:rFonts w:ascii="Verdana" w:hAnsi="Verdana"/>
          <w:sz w:val="20"/>
          <w:szCs w:val="20"/>
        </w:rPr>
        <w:t xml:space="preserve"> x ЕК,</w:t>
      </w:r>
    </w:p>
    <w:p w:rsidR="005445D9" w:rsidRPr="004A5740" w:rsidRDefault="005445D9" w:rsidP="005445D9">
      <w:pPr>
        <w:spacing w:before="40" w:line="360" w:lineRule="auto"/>
        <w:ind w:firstLine="720"/>
        <w:jc w:val="both"/>
        <w:rPr>
          <w:rFonts w:ascii="Verdana" w:hAnsi="Verdana"/>
          <w:sz w:val="20"/>
          <w:szCs w:val="20"/>
        </w:rPr>
      </w:pPr>
      <w:r w:rsidRPr="004A5740">
        <w:rPr>
          <w:rFonts w:ascii="Verdana" w:hAnsi="Verdana"/>
          <w:sz w:val="20"/>
          <w:szCs w:val="20"/>
        </w:rPr>
        <w:t>където:</w:t>
      </w:r>
    </w:p>
    <w:p w:rsidR="005445D9" w:rsidRPr="004A5740" w:rsidRDefault="005445D9" w:rsidP="005445D9">
      <w:pPr>
        <w:spacing w:before="40" w:line="360" w:lineRule="auto"/>
        <w:ind w:firstLine="720"/>
        <w:jc w:val="both"/>
        <w:rPr>
          <w:rFonts w:ascii="Verdana" w:hAnsi="Verdana"/>
          <w:sz w:val="20"/>
          <w:szCs w:val="20"/>
        </w:rPr>
      </w:pPr>
      <w:r w:rsidRPr="004A5740">
        <w:rPr>
          <w:rFonts w:ascii="Verdana" w:hAnsi="Verdana"/>
          <w:b/>
          <w:sz w:val="20"/>
          <w:szCs w:val="20"/>
        </w:rPr>
        <w:t>ГДПС</w:t>
      </w:r>
      <w:r w:rsidRPr="004A5740">
        <w:rPr>
          <w:rFonts w:ascii="Verdana" w:hAnsi="Verdana"/>
          <w:sz w:val="20"/>
          <w:szCs w:val="20"/>
        </w:rPr>
        <w:t xml:space="preserve"> е годишният размер на данъка върху превозните средства за леки и товарни автомобили с технически допустима максимална маса не повече от 3,5 т;</w:t>
      </w:r>
    </w:p>
    <w:p w:rsidR="005445D9" w:rsidRPr="004A5740" w:rsidRDefault="005445D9" w:rsidP="005445D9">
      <w:pPr>
        <w:spacing w:before="40" w:line="360" w:lineRule="auto"/>
        <w:ind w:firstLine="720"/>
        <w:jc w:val="both"/>
        <w:rPr>
          <w:rFonts w:ascii="Verdana" w:hAnsi="Verdana"/>
          <w:sz w:val="20"/>
          <w:szCs w:val="20"/>
        </w:rPr>
      </w:pPr>
      <w:proofErr w:type="spellStart"/>
      <w:r w:rsidRPr="004A5740">
        <w:rPr>
          <w:rFonts w:ascii="Verdana" w:hAnsi="Verdana"/>
          <w:b/>
          <w:sz w:val="20"/>
          <w:szCs w:val="20"/>
        </w:rPr>
        <w:t>ИмК</w:t>
      </w:r>
      <w:proofErr w:type="spellEnd"/>
      <w:r w:rsidRPr="004A5740">
        <w:rPr>
          <w:rFonts w:ascii="Verdana" w:hAnsi="Verdana"/>
          <w:sz w:val="20"/>
          <w:szCs w:val="20"/>
        </w:rPr>
        <w:t xml:space="preserve"> е имуществен компонент, който се определя по реда на т.1;</w:t>
      </w:r>
    </w:p>
    <w:p w:rsidR="005445D9" w:rsidRPr="004A5740" w:rsidRDefault="005445D9" w:rsidP="005445D9">
      <w:pPr>
        <w:spacing w:before="40" w:line="360" w:lineRule="auto"/>
        <w:ind w:firstLine="720"/>
        <w:jc w:val="both"/>
        <w:rPr>
          <w:rFonts w:ascii="Verdana" w:hAnsi="Verdana"/>
          <w:sz w:val="20"/>
          <w:szCs w:val="20"/>
        </w:rPr>
      </w:pPr>
      <w:r w:rsidRPr="004A5740">
        <w:rPr>
          <w:rFonts w:ascii="Verdana" w:hAnsi="Verdana"/>
          <w:b/>
          <w:sz w:val="20"/>
          <w:szCs w:val="20"/>
        </w:rPr>
        <w:t>ЕК</w:t>
      </w:r>
      <w:r w:rsidRPr="004A5740">
        <w:rPr>
          <w:rFonts w:ascii="Verdana" w:hAnsi="Verdana"/>
          <w:sz w:val="20"/>
          <w:szCs w:val="20"/>
        </w:rPr>
        <w:t xml:space="preserve"> е екологичен компонент, който се определя по реда на т.2.</w:t>
      </w:r>
    </w:p>
    <w:p w:rsidR="005445D9" w:rsidRPr="004A5740" w:rsidRDefault="005445D9" w:rsidP="005445D9">
      <w:pPr>
        <w:tabs>
          <w:tab w:val="left" w:pos="993"/>
        </w:tabs>
        <w:spacing w:before="40" w:line="360" w:lineRule="auto"/>
        <w:ind w:firstLine="720"/>
        <w:jc w:val="both"/>
        <w:rPr>
          <w:rFonts w:ascii="Verdana" w:hAnsi="Verdana"/>
          <w:sz w:val="20"/>
          <w:szCs w:val="20"/>
        </w:rPr>
      </w:pPr>
      <w:r w:rsidRPr="004A5740">
        <w:rPr>
          <w:rFonts w:ascii="Verdana" w:hAnsi="Verdana"/>
          <w:sz w:val="20"/>
          <w:szCs w:val="20"/>
        </w:rPr>
        <w:t>1.</w:t>
      </w:r>
      <w:r w:rsidRPr="004A5740">
        <w:rPr>
          <w:rFonts w:ascii="Verdana" w:hAnsi="Verdana"/>
          <w:sz w:val="20"/>
          <w:szCs w:val="20"/>
        </w:rPr>
        <w:tab/>
        <w:t>Имущественият компонент се определя от стойността на данъка в зависимост от мощността на двигателя, коригирана с коефициент в зависимост от годината на производство на автомобила, по следната формула:</w:t>
      </w:r>
    </w:p>
    <w:p w:rsidR="005445D9" w:rsidRPr="004A5740" w:rsidRDefault="005445D9" w:rsidP="005445D9">
      <w:pPr>
        <w:spacing w:line="360" w:lineRule="auto"/>
        <w:ind w:firstLine="720"/>
        <w:jc w:val="both"/>
        <w:rPr>
          <w:rFonts w:ascii="Verdana" w:hAnsi="Verdana"/>
          <w:sz w:val="20"/>
          <w:szCs w:val="20"/>
        </w:rPr>
      </w:pPr>
      <w:proofErr w:type="spellStart"/>
      <w:r w:rsidRPr="004A5740">
        <w:rPr>
          <w:rFonts w:ascii="Verdana" w:hAnsi="Verdana"/>
          <w:sz w:val="20"/>
          <w:szCs w:val="20"/>
        </w:rPr>
        <w:t>ИмК</w:t>
      </w:r>
      <w:proofErr w:type="spellEnd"/>
      <w:r w:rsidRPr="004A5740">
        <w:rPr>
          <w:rFonts w:ascii="Verdana" w:hAnsi="Verdana"/>
          <w:sz w:val="20"/>
          <w:szCs w:val="20"/>
        </w:rPr>
        <w:t xml:space="preserve"> = </w:t>
      </w:r>
      <w:proofErr w:type="spellStart"/>
      <w:r w:rsidRPr="004A5740">
        <w:rPr>
          <w:rFonts w:ascii="Verdana" w:hAnsi="Verdana"/>
          <w:sz w:val="20"/>
          <w:szCs w:val="20"/>
        </w:rPr>
        <w:t>С</w:t>
      </w:r>
      <w:r w:rsidRPr="004A5740">
        <w:rPr>
          <w:rFonts w:ascii="Verdana" w:hAnsi="Verdana"/>
          <w:sz w:val="20"/>
          <w:szCs w:val="20"/>
          <w:vertAlign w:val="subscript"/>
        </w:rPr>
        <w:t>kW</w:t>
      </w:r>
      <w:proofErr w:type="spellEnd"/>
      <w:r w:rsidRPr="004A5740">
        <w:rPr>
          <w:rFonts w:ascii="Verdana" w:hAnsi="Verdana"/>
          <w:sz w:val="20"/>
          <w:szCs w:val="20"/>
        </w:rPr>
        <w:t xml:space="preserve"> x </w:t>
      </w:r>
      <w:proofErr w:type="spellStart"/>
      <w:r w:rsidRPr="004A5740">
        <w:rPr>
          <w:rFonts w:ascii="Verdana" w:hAnsi="Verdana"/>
          <w:sz w:val="20"/>
          <w:szCs w:val="20"/>
        </w:rPr>
        <w:t>Кгп</w:t>
      </w:r>
      <w:proofErr w:type="spellEnd"/>
      <w:r w:rsidRPr="004A5740">
        <w:rPr>
          <w:rFonts w:ascii="Verdana" w:hAnsi="Verdana"/>
          <w:sz w:val="20"/>
          <w:szCs w:val="20"/>
        </w:rPr>
        <w:t>,</w:t>
      </w:r>
    </w:p>
    <w:p w:rsidR="005445D9" w:rsidRDefault="005445D9" w:rsidP="005445D9">
      <w:pPr>
        <w:spacing w:line="360" w:lineRule="auto"/>
        <w:ind w:firstLine="720"/>
        <w:jc w:val="both"/>
        <w:rPr>
          <w:rFonts w:ascii="Verdana" w:hAnsi="Verdana"/>
          <w:sz w:val="20"/>
          <w:szCs w:val="20"/>
        </w:rPr>
      </w:pPr>
      <w:r w:rsidRPr="004A5740">
        <w:rPr>
          <w:rFonts w:ascii="Verdana" w:hAnsi="Verdana"/>
          <w:sz w:val="20"/>
          <w:szCs w:val="20"/>
        </w:rPr>
        <w:t>където:</w:t>
      </w:r>
    </w:p>
    <w:p w:rsidR="005445D9" w:rsidRPr="004A5740" w:rsidRDefault="005445D9" w:rsidP="005445D9">
      <w:pPr>
        <w:spacing w:line="360" w:lineRule="auto"/>
        <w:ind w:firstLine="720"/>
        <w:jc w:val="both"/>
        <w:rPr>
          <w:rFonts w:ascii="Verdana" w:hAnsi="Verdana"/>
          <w:sz w:val="20"/>
          <w:szCs w:val="20"/>
        </w:rPr>
      </w:pPr>
    </w:p>
    <w:p w:rsidR="005445D9" w:rsidRPr="004A5740" w:rsidRDefault="005445D9" w:rsidP="005445D9">
      <w:pPr>
        <w:spacing w:before="40" w:line="360" w:lineRule="auto"/>
        <w:ind w:firstLine="720"/>
        <w:jc w:val="both"/>
        <w:rPr>
          <w:rFonts w:ascii="Verdana" w:hAnsi="Verdana"/>
          <w:sz w:val="20"/>
          <w:szCs w:val="20"/>
        </w:rPr>
      </w:pPr>
      <w:proofErr w:type="spellStart"/>
      <w:r w:rsidRPr="004A5740">
        <w:rPr>
          <w:rFonts w:ascii="Verdana" w:hAnsi="Verdana"/>
          <w:b/>
          <w:sz w:val="20"/>
          <w:szCs w:val="20"/>
        </w:rPr>
        <w:t>С</w:t>
      </w:r>
      <w:r w:rsidRPr="004A5740">
        <w:rPr>
          <w:rFonts w:ascii="Verdana" w:hAnsi="Verdana"/>
          <w:b/>
          <w:sz w:val="20"/>
          <w:szCs w:val="20"/>
          <w:vertAlign w:val="subscript"/>
        </w:rPr>
        <w:t>kW</w:t>
      </w:r>
      <w:proofErr w:type="spellEnd"/>
      <w:r w:rsidRPr="004A5740">
        <w:rPr>
          <w:rFonts w:ascii="Verdana" w:hAnsi="Verdana"/>
          <w:sz w:val="20"/>
          <w:szCs w:val="20"/>
        </w:rPr>
        <w:t xml:space="preserve"> е частта от стойността на данъка в зависимост от мощността на двигателя: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395"/>
      </w:tblGrid>
      <w:tr w:rsidR="005445D9" w:rsidRPr="004A5740" w:rsidTr="00A53569">
        <w:trPr>
          <w:trHeight w:val="339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5D9" w:rsidRPr="004A5740" w:rsidRDefault="005445D9" w:rsidP="00A53569">
            <w:pPr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4A5740">
              <w:rPr>
                <w:rFonts w:ascii="Verdana" w:hAnsi="Verdana"/>
                <w:i/>
                <w:sz w:val="20"/>
                <w:szCs w:val="20"/>
              </w:rPr>
              <w:t xml:space="preserve">Мощност на двигателя в </w:t>
            </w:r>
            <w:proofErr w:type="spellStart"/>
            <w:r w:rsidRPr="004A5740">
              <w:rPr>
                <w:rFonts w:ascii="Verdana" w:hAnsi="Verdana"/>
                <w:i/>
                <w:sz w:val="20"/>
                <w:szCs w:val="20"/>
              </w:rPr>
              <w:t>kW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5D9" w:rsidRPr="004A5740" w:rsidRDefault="005445D9" w:rsidP="00A53569">
            <w:pPr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4A5740">
              <w:rPr>
                <w:rFonts w:ascii="Verdana" w:hAnsi="Verdana"/>
                <w:i/>
                <w:sz w:val="20"/>
                <w:szCs w:val="20"/>
              </w:rPr>
              <w:t xml:space="preserve">Стойност на данъка  </w:t>
            </w:r>
            <w:proofErr w:type="spellStart"/>
            <w:r w:rsidRPr="004A5740">
              <w:rPr>
                <w:rFonts w:ascii="Verdana" w:hAnsi="Verdana"/>
                <w:i/>
                <w:sz w:val="20"/>
                <w:szCs w:val="20"/>
              </w:rPr>
              <w:t>Ckw</w:t>
            </w:r>
            <w:proofErr w:type="spellEnd"/>
            <w:r w:rsidRPr="004A5740">
              <w:rPr>
                <w:rFonts w:ascii="Verdana" w:hAnsi="Verdana"/>
                <w:i/>
                <w:sz w:val="20"/>
                <w:szCs w:val="20"/>
              </w:rPr>
              <w:t xml:space="preserve">  в </w:t>
            </w:r>
            <w:proofErr w:type="spellStart"/>
            <w:r w:rsidRPr="004A5740">
              <w:rPr>
                <w:rFonts w:ascii="Verdana" w:hAnsi="Verdana"/>
                <w:i/>
                <w:sz w:val="20"/>
                <w:szCs w:val="20"/>
              </w:rPr>
              <w:t>лв</w:t>
            </w:r>
            <w:proofErr w:type="spellEnd"/>
            <w:r w:rsidRPr="004A5740">
              <w:rPr>
                <w:rFonts w:ascii="Verdana" w:hAnsi="Verdana"/>
                <w:i/>
                <w:sz w:val="20"/>
                <w:szCs w:val="20"/>
              </w:rPr>
              <w:t xml:space="preserve"> за 1 </w:t>
            </w:r>
            <w:proofErr w:type="spellStart"/>
            <w:r w:rsidRPr="004A5740">
              <w:rPr>
                <w:rFonts w:ascii="Verdana" w:hAnsi="Verdana"/>
                <w:sz w:val="20"/>
                <w:szCs w:val="20"/>
              </w:rPr>
              <w:t>kW</w:t>
            </w:r>
            <w:proofErr w:type="spellEnd"/>
          </w:p>
        </w:tc>
      </w:tr>
      <w:tr w:rsidR="005445D9" w:rsidRPr="004A5740" w:rsidTr="00A53569">
        <w:trPr>
          <w:trHeight w:val="339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5D9" w:rsidRPr="004A5740" w:rsidRDefault="005445D9" w:rsidP="00A53569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A5740">
              <w:rPr>
                <w:rFonts w:ascii="Verdana" w:hAnsi="Verdana"/>
                <w:sz w:val="20"/>
                <w:szCs w:val="20"/>
              </w:rPr>
              <w:t xml:space="preserve">до 55 </w:t>
            </w:r>
            <w:proofErr w:type="spellStart"/>
            <w:r w:rsidRPr="004A5740">
              <w:rPr>
                <w:rFonts w:ascii="Verdana" w:hAnsi="Verdana"/>
                <w:sz w:val="20"/>
                <w:szCs w:val="20"/>
              </w:rPr>
              <w:t>kW</w:t>
            </w:r>
            <w:proofErr w:type="spellEnd"/>
            <w:r w:rsidRPr="004A5740">
              <w:rPr>
                <w:rFonts w:ascii="Verdana" w:hAnsi="Verdana"/>
                <w:sz w:val="20"/>
                <w:szCs w:val="20"/>
              </w:rPr>
              <w:t xml:space="preserve"> включително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5D9" w:rsidRPr="004A5740" w:rsidRDefault="005445D9" w:rsidP="00A53569">
            <w:pPr>
              <w:ind w:firstLine="720"/>
              <w:jc w:val="both"/>
              <w:rPr>
                <w:rFonts w:ascii="Verdana" w:hAnsi="Verdana"/>
                <w:sz w:val="20"/>
                <w:szCs w:val="20"/>
              </w:rPr>
            </w:pPr>
            <w:r w:rsidRPr="004A5740">
              <w:rPr>
                <w:rFonts w:ascii="Verdana" w:hAnsi="Verdana"/>
                <w:sz w:val="20"/>
                <w:szCs w:val="20"/>
              </w:rPr>
              <w:t>0,65</w:t>
            </w:r>
          </w:p>
        </w:tc>
      </w:tr>
      <w:tr w:rsidR="005445D9" w:rsidRPr="004A5740" w:rsidTr="00A53569">
        <w:trPr>
          <w:trHeight w:val="339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5D9" w:rsidRPr="004A5740" w:rsidRDefault="005445D9" w:rsidP="00A53569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A5740">
              <w:rPr>
                <w:rFonts w:ascii="Verdana" w:hAnsi="Verdana"/>
                <w:sz w:val="20"/>
                <w:szCs w:val="20"/>
              </w:rPr>
              <w:t xml:space="preserve">над 55 </w:t>
            </w:r>
            <w:proofErr w:type="spellStart"/>
            <w:r w:rsidRPr="004A5740">
              <w:rPr>
                <w:rFonts w:ascii="Verdana" w:hAnsi="Verdana"/>
                <w:sz w:val="20"/>
                <w:szCs w:val="20"/>
              </w:rPr>
              <w:t>kW</w:t>
            </w:r>
            <w:proofErr w:type="spellEnd"/>
            <w:r w:rsidRPr="004A5740">
              <w:rPr>
                <w:rFonts w:ascii="Verdana" w:hAnsi="Verdana"/>
                <w:sz w:val="20"/>
                <w:szCs w:val="20"/>
              </w:rPr>
              <w:t xml:space="preserve"> до 74 </w:t>
            </w:r>
            <w:proofErr w:type="spellStart"/>
            <w:r w:rsidRPr="004A5740">
              <w:rPr>
                <w:rFonts w:ascii="Verdana" w:hAnsi="Verdana"/>
                <w:sz w:val="20"/>
                <w:szCs w:val="20"/>
              </w:rPr>
              <w:t>kW</w:t>
            </w:r>
            <w:proofErr w:type="spellEnd"/>
            <w:r w:rsidRPr="004A5740">
              <w:rPr>
                <w:rFonts w:ascii="Verdana" w:hAnsi="Verdana"/>
                <w:sz w:val="20"/>
                <w:szCs w:val="20"/>
              </w:rPr>
              <w:t xml:space="preserve"> включително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5D9" w:rsidRPr="004A5740" w:rsidRDefault="005445D9" w:rsidP="00A53569">
            <w:pPr>
              <w:ind w:firstLine="720"/>
              <w:jc w:val="both"/>
              <w:rPr>
                <w:rFonts w:ascii="Verdana" w:hAnsi="Verdana"/>
                <w:sz w:val="20"/>
                <w:szCs w:val="20"/>
              </w:rPr>
            </w:pPr>
            <w:r w:rsidRPr="004A5740">
              <w:rPr>
                <w:rFonts w:ascii="Verdana" w:hAnsi="Verdana"/>
                <w:sz w:val="20"/>
                <w:szCs w:val="20"/>
              </w:rPr>
              <w:t>0,87</w:t>
            </w:r>
          </w:p>
        </w:tc>
      </w:tr>
      <w:tr w:rsidR="005445D9" w:rsidRPr="004A5740" w:rsidTr="00A53569">
        <w:trPr>
          <w:trHeight w:val="339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5D9" w:rsidRPr="004A5740" w:rsidRDefault="005445D9" w:rsidP="00A53569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A5740">
              <w:rPr>
                <w:rFonts w:ascii="Verdana" w:hAnsi="Verdana"/>
                <w:sz w:val="20"/>
                <w:szCs w:val="20"/>
              </w:rPr>
              <w:t xml:space="preserve">над 74 </w:t>
            </w:r>
            <w:proofErr w:type="spellStart"/>
            <w:r w:rsidRPr="004A5740">
              <w:rPr>
                <w:rFonts w:ascii="Verdana" w:hAnsi="Verdana"/>
                <w:sz w:val="20"/>
                <w:szCs w:val="20"/>
              </w:rPr>
              <w:t>kW</w:t>
            </w:r>
            <w:proofErr w:type="spellEnd"/>
            <w:r w:rsidRPr="004A5740">
              <w:rPr>
                <w:rFonts w:ascii="Verdana" w:hAnsi="Verdana"/>
                <w:sz w:val="20"/>
                <w:szCs w:val="20"/>
              </w:rPr>
              <w:t xml:space="preserve"> до 110 </w:t>
            </w:r>
            <w:proofErr w:type="spellStart"/>
            <w:r w:rsidRPr="004A5740">
              <w:rPr>
                <w:rFonts w:ascii="Verdana" w:hAnsi="Verdana"/>
                <w:sz w:val="20"/>
                <w:szCs w:val="20"/>
              </w:rPr>
              <w:t>kW</w:t>
            </w:r>
            <w:proofErr w:type="spellEnd"/>
            <w:r w:rsidRPr="004A5740">
              <w:rPr>
                <w:rFonts w:ascii="Verdana" w:hAnsi="Verdana"/>
                <w:sz w:val="20"/>
                <w:szCs w:val="20"/>
              </w:rPr>
              <w:t xml:space="preserve"> включително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5D9" w:rsidRPr="004A5740" w:rsidRDefault="005445D9" w:rsidP="00A53569">
            <w:pPr>
              <w:ind w:firstLine="720"/>
              <w:jc w:val="both"/>
              <w:rPr>
                <w:rFonts w:ascii="Verdana" w:hAnsi="Verdana"/>
                <w:sz w:val="20"/>
                <w:szCs w:val="20"/>
              </w:rPr>
            </w:pPr>
            <w:r w:rsidRPr="004A5740">
              <w:rPr>
                <w:rFonts w:ascii="Verdana" w:hAnsi="Verdana"/>
                <w:sz w:val="20"/>
                <w:szCs w:val="20"/>
              </w:rPr>
              <w:t>1,74</w:t>
            </w:r>
          </w:p>
        </w:tc>
      </w:tr>
      <w:tr w:rsidR="005445D9" w:rsidRPr="004A5740" w:rsidTr="00A53569">
        <w:trPr>
          <w:trHeight w:val="339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5D9" w:rsidRPr="004A5740" w:rsidRDefault="005445D9" w:rsidP="00A53569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A5740">
              <w:rPr>
                <w:rFonts w:ascii="Verdana" w:hAnsi="Verdana"/>
                <w:sz w:val="20"/>
                <w:szCs w:val="20"/>
              </w:rPr>
              <w:t xml:space="preserve">над 110 </w:t>
            </w:r>
            <w:proofErr w:type="spellStart"/>
            <w:r w:rsidRPr="004A5740">
              <w:rPr>
                <w:rFonts w:ascii="Verdana" w:hAnsi="Verdana"/>
                <w:sz w:val="20"/>
                <w:szCs w:val="20"/>
              </w:rPr>
              <w:t>kW</w:t>
            </w:r>
            <w:proofErr w:type="spellEnd"/>
            <w:r w:rsidRPr="004A5740">
              <w:rPr>
                <w:rFonts w:ascii="Verdana" w:hAnsi="Verdana"/>
                <w:sz w:val="20"/>
                <w:szCs w:val="20"/>
              </w:rPr>
              <w:t xml:space="preserve"> до 150 </w:t>
            </w:r>
            <w:proofErr w:type="spellStart"/>
            <w:r w:rsidRPr="004A5740">
              <w:rPr>
                <w:rFonts w:ascii="Verdana" w:hAnsi="Verdana"/>
                <w:sz w:val="20"/>
                <w:szCs w:val="20"/>
              </w:rPr>
              <w:t>kW</w:t>
            </w:r>
            <w:proofErr w:type="spellEnd"/>
            <w:r w:rsidRPr="004A5740">
              <w:rPr>
                <w:rFonts w:ascii="Verdana" w:hAnsi="Verdana"/>
                <w:sz w:val="20"/>
                <w:szCs w:val="20"/>
              </w:rPr>
              <w:t xml:space="preserve"> включително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5D9" w:rsidRPr="004A5740" w:rsidRDefault="005445D9" w:rsidP="00A53569">
            <w:pPr>
              <w:ind w:firstLine="720"/>
              <w:jc w:val="both"/>
              <w:rPr>
                <w:rFonts w:ascii="Verdana" w:hAnsi="Verdana"/>
                <w:sz w:val="20"/>
                <w:szCs w:val="20"/>
              </w:rPr>
            </w:pPr>
            <w:r w:rsidRPr="004A5740">
              <w:rPr>
                <w:rFonts w:ascii="Verdana" w:hAnsi="Verdana"/>
                <w:sz w:val="20"/>
                <w:szCs w:val="20"/>
              </w:rPr>
              <w:t>1,95</w:t>
            </w:r>
          </w:p>
        </w:tc>
      </w:tr>
      <w:tr w:rsidR="005445D9" w:rsidRPr="004A5740" w:rsidTr="00A53569">
        <w:trPr>
          <w:trHeight w:val="339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5D9" w:rsidRPr="004A5740" w:rsidRDefault="005445D9" w:rsidP="00A53569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A5740">
              <w:rPr>
                <w:rFonts w:ascii="Verdana" w:hAnsi="Verdana"/>
                <w:sz w:val="20"/>
                <w:szCs w:val="20"/>
              </w:rPr>
              <w:t xml:space="preserve">над 150 </w:t>
            </w:r>
            <w:proofErr w:type="spellStart"/>
            <w:r w:rsidRPr="004A5740">
              <w:rPr>
                <w:rFonts w:ascii="Verdana" w:hAnsi="Verdana"/>
                <w:sz w:val="20"/>
                <w:szCs w:val="20"/>
              </w:rPr>
              <w:t>kW</w:t>
            </w:r>
            <w:proofErr w:type="spellEnd"/>
            <w:r w:rsidRPr="004A5740">
              <w:rPr>
                <w:rFonts w:ascii="Verdana" w:hAnsi="Verdana"/>
                <w:sz w:val="20"/>
                <w:szCs w:val="20"/>
              </w:rPr>
              <w:t xml:space="preserve"> до 245 </w:t>
            </w:r>
            <w:proofErr w:type="spellStart"/>
            <w:r w:rsidRPr="004A5740">
              <w:rPr>
                <w:rFonts w:ascii="Verdana" w:hAnsi="Verdana"/>
                <w:sz w:val="20"/>
                <w:szCs w:val="20"/>
              </w:rPr>
              <w:t>kW</w:t>
            </w:r>
            <w:proofErr w:type="spellEnd"/>
            <w:r w:rsidRPr="004A5740">
              <w:rPr>
                <w:rFonts w:ascii="Verdana" w:hAnsi="Verdana"/>
                <w:sz w:val="20"/>
                <w:szCs w:val="20"/>
              </w:rPr>
              <w:t xml:space="preserve"> включително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5D9" w:rsidRPr="004A5740" w:rsidRDefault="005445D9" w:rsidP="00A53569">
            <w:pPr>
              <w:ind w:firstLine="720"/>
              <w:jc w:val="both"/>
              <w:rPr>
                <w:rFonts w:ascii="Verdana" w:hAnsi="Verdana"/>
                <w:sz w:val="20"/>
                <w:szCs w:val="20"/>
              </w:rPr>
            </w:pPr>
            <w:r w:rsidRPr="004A5740">
              <w:rPr>
                <w:rFonts w:ascii="Verdana" w:hAnsi="Verdana"/>
                <w:sz w:val="20"/>
                <w:szCs w:val="20"/>
              </w:rPr>
              <w:t>2,08</w:t>
            </w:r>
          </w:p>
        </w:tc>
      </w:tr>
      <w:tr w:rsidR="005445D9" w:rsidRPr="004A5740" w:rsidTr="00A53569">
        <w:trPr>
          <w:trHeight w:val="339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5D9" w:rsidRPr="004A5740" w:rsidRDefault="005445D9" w:rsidP="00A53569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A5740">
              <w:rPr>
                <w:rFonts w:ascii="Verdana" w:hAnsi="Verdana"/>
                <w:sz w:val="20"/>
                <w:szCs w:val="20"/>
              </w:rPr>
              <w:t xml:space="preserve">над 245 </w:t>
            </w:r>
            <w:proofErr w:type="spellStart"/>
            <w:r w:rsidRPr="004A5740">
              <w:rPr>
                <w:rFonts w:ascii="Verdana" w:hAnsi="Verdana"/>
                <w:sz w:val="20"/>
                <w:szCs w:val="20"/>
              </w:rPr>
              <w:t>kW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5D9" w:rsidRPr="004A5740" w:rsidRDefault="005445D9" w:rsidP="00A53569">
            <w:pPr>
              <w:ind w:firstLine="720"/>
              <w:jc w:val="both"/>
              <w:rPr>
                <w:rFonts w:ascii="Verdana" w:hAnsi="Verdana"/>
                <w:sz w:val="20"/>
                <w:szCs w:val="20"/>
              </w:rPr>
            </w:pPr>
            <w:r w:rsidRPr="004A5740">
              <w:rPr>
                <w:rFonts w:ascii="Verdana" w:hAnsi="Verdana"/>
                <w:sz w:val="20"/>
                <w:szCs w:val="20"/>
              </w:rPr>
              <w:t>2,73</w:t>
            </w:r>
          </w:p>
        </w:tc>
      </w:tr>
    </w:tbl>
    <w:p w:rsidR="005445D9" w:rsidRPr="004A5740" w:rsidRDefault="005445D9" w:rsidP="005445D9">
      <w:pPr>
        <w:ind w:left="1080"/>
        <w:rPr>
          <w:sz w:val="20"/>
          <w:szCs w:val="20"/>
        </w:rPr>
      </w:pPr>
    </w:p>
    <w:p w:rsidR="00FA486E" w:rsidRPr="005445D9" w:rsidRDefault="00FA486E" w:rsidP="005445D9"/>
    <w:sectPr w:rsidR="00FA486E" w:rsidRPr="005445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C72CB"/>
    <w:multiLevelType w:val="hybridMultilevel"/>
    <w:tmpl w:val="0AE4063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F65870"/>
    <w:multiLevelType w:val="multilevel"/>
    <w:tmpl w:val="39A8334A"/>
    <w:lvl w:ilvl="0">
      <w:start w:val="1"/>
      <w:numFmt w:val="decimal"/>
      <w:lvlText w:val="%1."/>
      <w:lvlJc w:val="left"/>
      <w:pPr>
        <w:ind w:left="1080" w:hanging="360"/>
      </w:pPr>
      <w:rPr>
        <w:rFonts w:ascii="Verdana" w:hAnsi="Verdana" w:hint="default"/>
        <w:b w:val="0"/>
        <w:sz w:val="20"/>
      </w:rPr>
    </w:lvl>
    <w:lvl w:ilvl="1">
      <w:start w:val="1"/>
      <w:numFmt w:val="decimal"/>
      <w:isLgl/>
      <w:lvlText w:val="%1.%2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3600" w:hanging="144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468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5400" w:hanging="216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hint="default"/>
        <w:b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5D9"/>
    <w:rsid w:val="005445D9"/>
    <w:rsid w:val="00FA4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F4E49"/>
  <w15:chartTrackingRefBased/>
  <w15:docId w15:val="{98822D2A-AAFA-4298-979E-037709BD8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5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5445D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User-A</dc:creator>
  <cp:keywords/>
  <dc:description/>
  <cp:lastModifiedBy>User-A</cp:lastModifiedBy>
  <cp:revision>1</cp:revision>
  <dcterms:created xsi:type="dcterms:W3CDTF">2024-10-28T12:54:00Z</dcterms:created>
  <dcterms:modified xsi:type="dcterms:W3CDTF">2024-10-28T12:55:00Z</dcterms:modified>
</cp:coreProperties>
</file>